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56.png" ContentType="image/png"/>
  <Override PartName="/word/media/rId60.png" ContentType="image/png"/>
  <Override PartName="/word/media/rId64.png" ContentType="image/png"/>
  <Override PartName="/word/media/rId68.png" ContentType="image/png"/>
  <Override PartName="/word/media/rId72.png" ContentType="image/png"/>
  <Override PartName="/word/media/rId76.png" ContentType="image/png"/>
  <Override PartName="/word/media/rId80.png" ContentType="image/png"/>
  <Override PartName="/word/media/rId84.png" ContentType="image/png"/>
  <Override PartName="/word/media/rId88.png" ContentType="image/png"/>
  <Override PartName="/word/media/rId92.png" ContentType="image/png"/>
  <Override PartName="/word/media/rId24.png" ContentType="image/png"/>
  <Override PartName="/word/media/rId96.png" ContentType="image/png"/>
  <Override PartName="/word/media/rId100.png" ContentType="image/png"/>
  <Override PartName="/word/media/rId104.png" ContentType="image/png"/>
  <Override PartName="/word/media/rId108.png" ContentType="image/png"/>
  <Override PartName="/word/media/rId112.png" ContentType="image/png"/>
  <Override PartName="/word/media/rId116.png" ContentType="image/png"/>
  <Override PartName="/word/media/rId120.png" ContentType="image/png"/>
  <Override PartName="/word/media/rId124.png" ContentType="image/png"/>
  <Override PartName="/word/media/rId128.png" ContentType="image/png"/>
  <Override PartName="/word/media/rId132.png" ContentType="image/png"/>
  <Override PartName="/word/media/rId28.png" ContentType="image/png"/>
  <Override PartName="/word/media/rId136.png" ContentType="image/png"/>
  <Override PartName="/word/media/rId140.png" ContentType="image/png"/>
  <Override PartName="/word/media/rId144.png" ContentType="image/png"/>
  <Override PartName="/word/media/rId148.png" ContentType="image/png"/>
  <Override PartName="/word/media/rId152.png" ContentType="image/png"/>
  <Override PartName="/word/media/rId156.png" ContentType="image/png"/>
  <Override PartName="/word/media/rId160.png" ContentType="image/png"/>
  <Override PartName="/word/media/rId164.png" ContentType="image/png"/>
  <Override PartName="/word/media/rId168.png" ContentType="image/png"/>
  <Override PartName="/word/media/rId32.png" ContentType="image/png"/>
  <Override PartName="/word/media/rId36.png" ContentType="image/png"/>
  <Override PartName="/word/media/rId40.png" ContentType="image/png"/>
  <Override PartName="/word/media/rId44.png" ContentType="image/png"/>
  <Override PartName="/word/media/rId48.png" ContentType="image/png"/>
  <Override PartName="/word/media/rId5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I-CDL</w:t>
      </w:r>
      <w:r>
        <w:t xml:space="preserve"> </w:t>
      </w:r>
      <w:r>
        <w:t xml:space="preserve">tools</w:t>
      </w:r>
      <w:r>
        <w:t xml:space="preserve"> </w:t>
      </w:r>
      <w:r>
        <w:t xml:space="preserve">to</w:t>
      </w:r>
      <w:r>
        <w:t xml:space="preserve"> </w:t>
      </w:r>
      <w:r>
        <w:t xml:space="preserve">develop</w:t>
      </w:r>
      <w:r>
        <w:t xml:space="preserve"> </w:t>
      </w:r>
      <w:r>
        <w:t xml:space="preserve">FRS</w:t>
      </w:r>
    </w:p>
    <w:p>
      <w:pPr>
        <w:pStyle w:val="Author"/>
      </w:pPr>
      <w:r>
        <w:t xml:space="preserve">CTRL</w:t>
      </w:r>
      <w:r>
        <w:t xml:space="preserve"> </w:t>
      </w:r>
      <w:r>
        <w:t xml:space="preserve">Designer</w:t>
      </w:r>
      <w:r>
        <w:t xml:space="preserve"> </w:t>
      </w:r>
      <w:r>
        <w:t xml:space="preserve">LLC</w:t>
      </w:r>
    </w:p>
    <w:p>
      <w:pPr>
        <w:pStyle w:val="Date"/>
      </w:pPr>
      <w:r>
        <w:t xml:space="preserve">2024.10.10</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172" w:name="introduction"/>
    <w:p>
      <w:pPr>
        <w:pStyle w:val="Heading1"/>
      </w:pPr>
      <w:r>
        <w:t xml:space="preserve">1. Introduction</w:t>
      </w:r>
    </w:p>
    <w:p>
      <w:pPr>
        <w:pStyle w:val="FirstParagraph"/>
      </w:pPr>
      <w:r>
        <w:t xml:space="preserve">CTRL Designer LLC (</w:t>
      </w:r>
      <w:r>
        <w:rPr>
          <w:b/>
          <w:bCs/>
        </w:rPr>
        <w:t xml:space="preserve">CDL</w:t>
      </w:r>
      <w:r>
        <w:t xml:space="preserve">) is a leading provider of</w:t>
      </w:r>
      <w:r>
        <w:t xml:space="preserve"> </w:t>
      </w:r>
      <w:r>
        <w:rPr>
          <w:b/>
          <w:bCs/>
        </w:rPr>
        <w:t xml:space="preserve">SBC</w:t>
      </w:r>
      <w:r>
        <w:t xml:space="preserve"> </w:t>
      </w:r>
      <w:r>
        <w:t xml:space="preserve">state-based control (procedural control) based on ISA106 solutions to the process industries.</w:t>
      </w:r>
    </w:p>
    <w:p>
      <w:pPr>
        <w:pStyle w:val="BodyText"/>
      </w:pPr>
      <w:r>
        <w:t xml:space="preserve">Its software portfolio and work processes help process control engineers develop an overall process control design and convert it automatically to the selected control system code. These solutions allow users to make smarter decisions to improve safety, reliability, efficiency, and sustainability.</w:t>
      </w:r>
    </w:p>
    <w:p>
      <w:pPr>
        <w:pStyle w:val="BodyText"/>
      </w:pPr>
      <w:r>
        <w:t xml:space="preserve">The following are discussed as an introduction to CDL interpretation of ISA106.</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Chapter</w:t>
            </w:r>
          </w:p>
        </w:tc>
        <w:tc>
          <w:tcPr/>
          <w:p>
            <w:pPr>
              <w:pStyle w:val="Compact"/>
              <w:jc w:val="left"/>
            </w:pPr>
            <w:r>
              <w:t xml:space="preserve">description</w:t>
            </w:r>
          </w:p>
        </w:tc>
      </w:tr>
      <w:tr>
        <w:tc>
          <w:tcPr/>
          <w:p>
            <w:pPr>
              <w:pStyle w:val="Compact"/>
              <w:jc w:val="left"/>
            </w:pPr>
            <w:r>
              <w:t xml:space="preserve">A</w:t>
            </w:r>
          </w:p>
        </w:tc>
        <w:tc>
          <w:tcPr/>
          <w:p>
            <w:pPr>
              <w:pStyle w:val="Compact"/>
              <w:jc w:val="left"/>
            </w:pPr>
            <w:r>
              <w:t xml:space="preserve">ISA106 Overview</w:t>
            </w:r>
          </w:p>
        </w:tc>
      </w:tr>
      <w:tr>
        <w:tc>
          <w:tcPr/>
          <w:p>
            <w:pPr>
              <w:pStyle w:val="Compact"/>
              <w:jc w:val="left"/>
            </w:pPr>
            <w:r>
              <w:t xml:space="preserve">B</w:t>
            </w:r>
          </w:p>
        </w:tc>
        <w:tc>
          <w:tcPr/>
          <w:p>
            <w:pPr>
              <w:pStyle w:val="Compact"/>
              <w:jc w:val="left"/>
            </w:pPr>
            <w:r>
              <w:t xml:space="preserve">ISA106 Models</w:t>
            </w:r>
          </w:p>
        </w:tc>
      </w:tr>
      <w:tr>
        <w:tc>
          <w:tcPr/>
          <w:p>
            <w:pPr>
              <w:pStyle w:val="Compact"/>
              <w:jc w:val="left"/>
            </w:pPr>
            <w:r>
              <w:t xml:space="preserve">C</w:t>
            </w:r>
          </w:p>
        </w:tc>
        <w:tc>
          <w:tcPr/>
          <w:p>
            <w:pPr>
              <w:pStyle w:val="Compact"/>
              <w:jc w:val="left"/>
            </w:pPr>
            <w:r>
              <w:t xml:space="preserve">ISA106 Automation Styles</w:t>
            </w:r>
          </w:p>
        </w:tc>
      </w:tr>
      <w:tr>
        <w:tc>
          <w:tcPr/>
          <w:p>
            <w:pPr>
              <w:pStyle w:val="Compact"/>
              <w:jc w:val="left"/>
            </w:pPr>
            <w:r>
              <w:t xml:space="preserve">D</w:t>
            </w:r>
          </w:p>
        </w:tc>
        <w:tc>
          <w:tcPr/>
          <w:p>
            <w:pPr>
              <w:pStyle w:val="Compact"/>
              <w:jc w:val="left"/>
            </w:pPr>
            <w:r>
              <w:t xml:space="preserve">ISA106 State-Based Control (SBC)</w:t>
            </w:r>
          </w:p>
        </w:tc>
      </w:tr>
      <w:tr>
        <w:tc>
          <w:tcPr/>
          <w:p>
            <w:pPr>
              <w:pStyle w:val="Compact"/>
              <w:jc w:val="left"/>
            </w:pPr>
            <w:r>
              <w:t xml:space="preserve">E</w:t>
            </w:r>
          </w:p>
        </w:tc>
        <w:tc>
          <w:tcPr/>
          <w:p>
            <w:pPr>
              <w:pStyle w:val="Compact"/>
              <w:jc w:val="left"/>
            </w:pPr>
            <w:r>
              <w:t xml:space="preserve">ISA106 Sequenced-Based Control (SqBC)</w:t>
            </w:r>
          </w:p>
        </w:tc>
      </w:tr>
      <w:tr>
        <w:tc>
          <w:tcPr/>
          <w:p>
            <w:pPr>
              <w:pStyle w:val="Compact"/>
              <w:jc w:val="left"/>
            </w:pPr>
            <w:r>
              <w:t xml:space="preserve">F</w:t>
            </w:r>
          </w:p>
        </w:tc>
        <w:tc>
          <w:tcPr/>
          <w:p>
            <w:pPr>
              <w:pStyle w:val="Compact"/>
              <w:jc w:val="left"/>
            </w:pPr>
            <w:r>
              <w:t xml:space="preserve">ISA106 Work Process Overview</w:t>
            </w:r>
          </w:p>
        </w:tc>
      </w:tr>
      <w:tr>
        <w:tc>
          <w:tcPr/>
          <w:p>
            <w:pPr>
              <w:pStyle w:val="Compact"/>
              <w:jc w:val="left"/>
            </w:pPr>
            <w:r>
              <w:t xml:space="preserve">G</w:t>
            </w:r>
          </w:p>
        </w:tc>
        <w:tc>
          <w:tcPr/>
          <w:p>
            <w:pPr>
              <w:pStyle w:val="Compact"/>
              <w:jc w:val="left"/>
            </w:pPr>
            <w:r>
              <w:t xml:space="preserve">CDL Work Process Overview</w:t>
            </w:r>
          </w:p>
        </w:tc>
      </w:tr>
      <w:tr>
        <w:tc>
          <w:tcPr/>
          <w:p>
            <w:pPr>
              <w:pStyle w:val="Compact"/>
              <w:jc w:val="left"/>
            </w:pPr>
            <w:r>
              <w:t xml:space="preserve">H</w:t>
            </w:r>
          </w:p>
        </w:tc>
        <w:tc>
          <w:tcPr/>
          <w:p>
            <w:pPr>
              <w:pStyle w:val="Compact"/>
              <w:jc w:val="left"/>
            </w:pPr>
            <w:r>
              <w:t xml:space="preserve">CDL tools to develop URS</w:t>
            </w:r>
          </w:p>
        </w:tc>
      </w:tr>
      <w:tr>
        <w:tc>
          <w:tcPr/>
          <w:p>
            <w:pPr>
              <w:pStyle w:val="Compact"/>
              <w:jc w:val="left"/>
            </w:pPr>
            <w:r>
              <w:t xml:space="preserve">I</w:t>
            </w:r>
          </w:p>
        </w:tc>
        <w:tc>
          <w:tcPr/>
          <w:p>
            <w:pPr>
              <w:pStyle w:val="Compact"/>
              <w:jc w:val="left"/>
            </w:pPr>
            <w:r>
              <w:t xml:space="preserve">CDL tools to develop FRS</w:t>
            </w:r>
          </w:p>
        </w:tc>
      </w:tr>
      <w:tr>
        <w:tc>
          <w:tcPr/>
          <w:p>
            <w:pPr>
              <w:pStyle w:val="Compact"/>
              <w:jc w:val="left"/>
            </w:pPr>
            <w:r>
              <w:t xml:space="preserve">J</w:t>
            </w:r>
          </w:p>
        </w:tc>
        <w:tc>
          <w:tcPr/>
          <w:p>
            <w:pPr>
              <w:pStyle w:val="Compact"/>
              <w:jc w:val="left"/>
            </w:pPr>
            <w:r>
              <w:t xml:space="preserve">CDL tools to develop DCS-DDS</w:t>
            </w:r>
          </w:p>
        </w:tc>
      </w:tr>
    </w:tbl>
    <w:p>
      <w:pPr>
        <w:pStyle w:val="BodyText"/>
      </w:pPr>
      <w:r>
        <w:t xml:space="preserve">In this section,</w:t>
      </w:r>
      <w:r>
        <w:t xml:space="preserve"> </w:t>
      </w:r>
      <w:r>
        <w:rPr>
          <w:b/>
          <w:bCs/>
        </w:rPr>
        <w:t xml:space="preserve">I-CDL tools to develop FRS</w:t>
      </w:r>
      <w:r>
        <w:t xml:space="preserve"> </w:t>
      </w:r>
      <w:r>
        <w:t xml:space="preserve">is reviewed</w:t>
      </w:r>
    </w:p>
    <w:bookmarkStart w:id="23" w:name="overview"/>
    <w:p>
      <w:pPr>
        <w:pStyle w:val="Heading2"/>
      </w:pPr>
      <w:r>
        <w:t xml:space="preserve">1.1 Overview</w:t>
      </w:r>
    </w:p>
    <w:p>
      <w:pPr>
        <w:pStyle w:val="FirstParagraph"/>
      </w:pPr>
      <w:r>
        <w:t xml:space="preserve">Please review the following slide:</w:t>
      </w:r>
      <w:r>
        <w:t xml:space="preserve"> </w:t>
      </w:r>
      <w:r>
        <w:drawing>
          <wp:inline>
            <wp:extent cx="5334000" cy="3000375"/>
            <wp:effectExtent b="0" l="0" r="0" t="0"/>
            <wp:docPr descr="Slide 1" title="" id="21" name="Picture"/>
            <a:graphic>
              <a:graphicData uri="http://schemas.openxmlformats.org/drawingml/2006/picture">
                <pic:pic>
                  <pic:nvPicPr>
                    <pic:cNvPr descr="Images/Slide1.png" id="22" name="Picture"/>
                    <pic:cNvPicPr>
                      <a:picLocks noChangeArrowheads="1" noChangeAspect="1"/>
                    </pic:cNvPicPr>
                  </pic:nvPicPr>
                  <pic:blipFill>
                    <a:blip r:embed="rId2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23"/>
    <w:bookmarkStart w:id="27" w:name="ctrl-designer-llc-cdl"/>
    <w:p>
      <w:pPr>
        <w:pStyle w:val="Heading2"/>
      </w:pPr>
      <w:r>
        <w:t xml:space="preserve">1.2 CTRL Designer LLC (CDL)</w:t>
      </w:r>
    </w:p>
    <w:p>
      <w:pPr>
        <w:pStyle w:val="FirstParagraph"/>
      </w:pPr>
      <w:r>
        <w:t xml:space="preserve">Please review the following slide:</w:t>
      </w:r>
      <w:r>
        <w:t xml:space="preserve"> </w:t>
      </w:r>
      <w:r>
        <w:drawing>
          <wp:inline>
            <wp:extent cx="5334000" cy="3000375"/>
            <wp:effectExtent b="0" l="0" r="0" t="0"/>
            <wp:docPr descr="Slide 2" title="" id="25" name="Picture"/>
            <a:graphic>
              <a:graphicData uri="http://schemas.openxmlformats.org/drawingml/2006/picture">
                <pic:pic>
                  <pic:nvPicPr>
                    <pic:cNvPr descr="Images/Slide2.png" id="26" name="Picture"/>
                    <pic:cNvPicPr>
                      <a:picLocks noChangeArrowheads="1" noChangeAspect="1"/>
                    </pic:cNvPicPr>
                  </pic:nvPicPr>
                  <pic:blipFill>
                    <a:blip r:embed="rId2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27"/>
    <w:bookmarkStart w:id="31" w:name="presentation-agenda"/>
    <w:p>
      <w:pPr>
        <w:pStyle w:val="Heading2"/>
      </w:pPr>
      <w:r>
        <w:t xml:space="preserve">1.3 Presentation Agenda</w:t>
      </w:r>
    </w:p>
    <w:p>
      <w:pPr>
        <w:pStyle w:val="FirstParagraph"/>
      </w:pPr>
      <w:r>
        <w:t xml:space="preserve">Please review the following slide:</w:t>
      </w:r>
      <w:r>
        <w:t xml:space="preserve"> </w:t>
      </w:r>
      <w:r>
        <w:drawing>
          <wp:inline>
            <wp:extent cx="5334000" cy="3000375"/>
            <wp:effectExtent b="0" l="0" r="0" t="0"/>
            <wp:docPr descr="Slide 3" title="" id="29" name="Picture"/>
            <a:graphic>
              <a:graphicData uri="http://schemas.openxmlformats.org/drawingml/2006/picture">
                <pic:pic>
                  <pic:nvPicPr>
                    <pic:cNvPr descr="Images/Slide3.png" id="30" name="Picture"/>
                    <pic:cNvPicPr>
                      <a:picLocks noChangeArrowheads="1" noChangeAspect="1"/>
                    </pic:cNvPicPr>
                  </pic:nvPicPr>
                  <pic:blipFill>
                    <a:blip r:embed="rId2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31"/>
    <w:bookmarkStart w:id="35" w:name="presentation-agenda-1"/>
    <w:p>
      <w:pPr>
        <w:pStyle w:val="Heading2"/>
      </w:pPr>
      <w:r>
        <w:t xml:space="preserve">1.4 Presentation Agenda</w:t>
      </w:r>
    </w:p>
    <w:p>
      <w:pPr>
        <w:pStyle w:val="FirstParagraph"/>
      </w:pPr>
      <w:r>
        <w:t xml:space="preserve">Please review the following slide:</w:t>
      </w:r>
      <w:r>
        <w:t xml:space="preserve"> </w:t>
      </w:r>
      <w:r>
        <w:drawing>
          <wp:inline>
            <wp:extent cx="5334000" cy="3000375"/>
            <wp:effectExtent b="0" l="0" r="0" t="0"/>
            <wp:docPr descr="Slide 4" title="" id="33" name="Picture"/>
            <a:graphic>
              <a:graphicData uri="http://schemas.openxmlformats.org/drawingml/2006/picture">
                <pic:pic>
                  <pic:nvPicPr>
                    <pic:cNvPr descr="Images/Slide4.png" id="34" name="Picture"/>
                    <pic:cNvPicPr>
                      <a:picLocks noChangeArrowheads="1" noChangeAspect="1"/>
                    </pic:cNvPicPr>
                  </pic:nvPicPr>
                  <pic:blipFill>
                    <a:blip r:embed="rId32"/>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35"/>
    <w:bookmarkStart w:id="39" w:name="cdl-tools-for-excel---engine-a"/>
    <w:p>
      <w:pPr>
        <w:pStyle w:val="Heading2"/>
      </w:pPr>
      <w:r>
        <w:t xml:space="preserve">1.5 CDL tools for Excel™ - Engine A</w:t>
      </w:r>
    </w:p>
    <w:p>
      <w:pPr>
        <w:pStyle w:val="FirstParagraph"/>
      </w:pPr>
      <w:r>
        <w:t xml:space="preserve">Please review the following slide:</w:t>
      </w:r>
      <w:r>
        <w:t xml:space="preserve"> </w:t>
      </w:r>
      <w:r>
        <w:drawing>
          <wp:inline>
            <wp:extent cx="5334000" cy="3000375"/>
            <wp:effectExtent b="0" l="0" r="0" t="0"/>
            <wp:docPr descr="Slide 5" title="" id="37" name="Picture"/>
            <a:graphic>
              <a:graphicData uri="http://schemas.openxmlformats.org/drawingml/2006/picture">
                <pic:pic>
                  <pic:nvPicPr>
                    <pic:cNvPr descr="Images/Slide5.png" id="38" name="Picture"/>
                    <pic:cNvPicPr>
                      <a:picLocks noChangeArrowheads="1" noChangeAspect="1"/>
                    </pic:cNvPicPr>
                  </pic:nvPicPr>
                  <pic:blipFill>
                    <a:blip r:embed="rId36"/>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39"/>
    <w:bookmarkStart w:id="43" w:name="cdl-tools-for-excel-engine-b"/>
    <w:p>
      <w:pPr>
        <w:pStyle w:val="Heading2"/>
      </w:pPr>
      <w:r>
        <w:t xml:space="preserve">1.6 CDL tools for Excel™ Engine B</w:t>
      </w:r>
    </w:p>
    <w:p>
      <w:pPr>
        <w:pStyle w:val="FirstParagraph"/>
      </w:pPr>
      <w:r>
        <w:t xml:space="preserve">Please review the following slide:</w:t>
      </w:r>
      <w:r>
        <w:t xml:space="preserve"> </w:t>
      </w:r>
      <w:r>
        <w:drawing>
          <wp:inline>
            <wp:extent cx="5334000" cy="3000375"/>
            <wp:effectExtent b="0" l="0" r="0" t="0"/>
            <wp:docPr descr="Slide 6" title="" id="41" name="Picture"/>
            <a:graphic>
              <a:graphicData uri="http://schemas.openxmlformats.org/drawingml/2006/picture">
                <pic:pic>
                  <pic:nvPicPr>
                    <pic:cNvPr descr="Images/Slide6.png" id="42" name="Picture"/>
                    <pic:cNvPicPr>
                      <a:picLocks noChangeArrowheads="1" noChangeAspect="1"/>
                    </pic:cNvPicPr>
                  </pic:nvPicPr>
                  <pic:blipFill>
                    <a:blip r:embed="rId4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43"/>
    <w:bookmarkStart w:id="47" w:name="cm-ccm-library"/>
    <w:p>
      <w:pPr>
        <w:pStyle w:val="Heading2"/>
      </w:pPr>
      <w:r>
        <w:t xml:space="preserve">1.7 CM CCM Library</w:t>
      </w:r>
    </w:p>
    <w:p>
      <w:pPr>
        <w:pStyle w:val="FirstParagraph"/>
      </w:pPr>
      <w:r>
        <w:t xml:space="preserve">Please review the following slide:</w:t>
      </w:r>
      <w:r>
        <w:t xml:space="preserve"> </w:t>
      </w:r>
      <w:r>
        <w:drawing>
          <wp:inline>
            <wp:extent cx="5334000" cy="3000375"/>
            <wp:effectExtent b="0" l="0" r="0" t="0"/>
            <wp:docPr descr="Slide 7" title="" id="45" name="Picture"/>
            <a:graphic>
              <a:graphicData uri="http://schemas.openxmlformats.org/drawingml/2006/picture">
                <pic:pic>
                  <pic:nvPicPr>
                    <pic:cNvPr descr="Images/Slide7.png" id="46" name="Picture"/>
                    <pic:cNvPicPr>
                      <a:picLocks noChangeArrowheads="1" noChangeAspect="1"/>
                    </pic:cNvPicPr>
                  </pic:nvPicPr>
                  <pic:blipFill>
                    <a:blip r:embed="rId4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47"/>
    <w:bookmarkStart w:id="51" w:name="cm-library---part-a"/>
    <w:p>
      <w:pPr>
        <w:pStyle w:val="Heading2"/>
      </w:pPr>
      <w:r>
        <w:t xml:space="preserve">1.8 CM Library - Part A</w:t>
      </w:r>
    </w:p>
    <w:p>
      <w:pPr>
        <w:pStyle w:val="FirstParagraph"/>
      </w:pPr>
      <w:r>
        <w:t xml:space="preserve">Please review the following slide:</w:t>
      </w:r>
      <w:r>
        <w:t xml:space="preserve"> </w:t>
      </w:r>
      <w:r>
        <w:drawing>
          <wp:inline>
            <wp:extent cx="5334000" cy="3000375"/>
            <wp:effectExtent b="0" l="0" r="0" t="0"/>
            <wp:docPr descr="Slide 8" title="" id="49" name="Picture"/>
            <a:graphic>
              <a:graphicData uri="http://schemas.openxmlformats.org/drawingml/2006/picture">
                <pic:pic>
                  <pic:nvPicPr>
                    <pic:cNvPr descr="Images/Slide8.png" id="50" name="Picture"/>
                    <pic:cNvPicPr>
                      <a:picLocks noChangeArrowheads="1" noChangeAspect="1"/>
                    </pic:cNvPicPr>
                  </pic:nvPicPr>
                  <pic:blipFill>
                    <a:blip r:embed="rId4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51"/>
    <w:bookmarkStart w:id="55" w:name="cm-library---part-b"/>
    <w:p>
      <w:pPr>
        <w:pStyle w:val="Heading2"/>
      </w:pPr>
      <w:r>
        <w:t xml:space="preserve">1.9 CM Library - Part B</w:t>
      </w:r>
    </w:p>
    <w:p>
      <w:pPr>
        <w:pStyle w:val="FirstParagraph"/>
      </w:pPr>
      <w:r>
        <w:t xml:space="preserve">Please review the following slide:</w:t>
      </w:r>
      <w:r>
        <w:t xml:space="preserve"> </w:t>
      </w:r>
      <w:r>
        <w:drawing>
          <wp:inline>
            <wp:extent cx="5334000" cy="3000375"/>
            <wp:effectExtent b="0" l="0" r="0" t="0"/>
            <wp:docPr descr="Slide 9" title="" id="53" name="Picture"/>
            <a:graphic>
              <a:graphicData uri="http://schemas.openxmlformats.org/drawingml/2006/picture">
                <pic:pic>
                  <pic:nvPicPr>
                    <pic:cNvPr descr="Images/Slide9.png" id="54" name="Picture"/>
                    <pic:cNvPicPr>
                      <a:picLocks noChangeArrowheads="1" noChangeAspect="1"/>
                    </pic:cNvPicPr>
                  </pic:nvPicPr>
                  <pic:blipFill>
                    <a:blip r:embed="rId52"/>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55"/>
    <w:bookmarkStart w:id="59" w:name="cm-library---part-c"/>
    <w:p>
      <w:pPr>
        <w:pStyle w:val="Heading2"/>
      </w:pPr>
      <w:r>
        <w:t xml:space="preserve">1.10 CM Library - Part C</w:t>
      </w:r>
    </w:p>
    <w:p>
      <w:pPr>
        <w:pStyle w:val="FirstParagraph"/>
      </w:pPr>
      <w:r>
        <w:t xml:space="preserve">Please review the following slide:</w:t>
      </w:r>
      <w:r>
        <w:t xml:space="preserve"> </w:t>
      </w:r>
      <w:r>
        <w:drawing>
          <wp:inline>
            <wp:extent cx="5334000" cy="3000375"/>
            <wp:effectExtent b="0" l="0" r="0" t="0"/>
            <wp:docPr descr="Slide 10" title="" id="57" name="Picture"/>
            <a:graphic>
              <a:graphicData uri="http://schemas.openxmlformats.org/drawingml/2006/picture">
                <pic:pic>
                  <pic:nvPicPr>
                    <pic:cNvPr descr="Images/Slide10.png" id="58" name="Picture"/>
                    <pic:cNvPicPr>
                      <a:picLocks noChangeArrowheads="1" noChangeAspect="1"/>
                    </pic:cNvPicPr>
                  </pic:nvPicPr>
                  <pic:blipFill>
                    <a:blip r:embed="rId56"/>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59"/>
    <w:bookmarkStart w:id="63" w:name="cm-library---part-d"/>
    <w:p>
      <w:pPr>
        <w:pStyle w:val="Heading2"/>
      </w:pPr>
      <w:r>
        <w:t xml:space="preserve">1.11 CM Library - Part D</w:t>
      </w:r>
    </w:p>
    <w:p>
      <w:pPr>
        <w:pStyle w:val="FirstParagraph"/>
      </w:pPr>
      <w:r>
        <w:t xml:space="preserve">Please review the following slide:</w:t>
      </w:r>
      <w:r>
        <w:t xml:space="preserve"> </w:t>
      </w:r>
      <w:r>
        <w:drawing>
          <wp:inline>
            <wp:extent cx="5334000" cy="3000375"/>
            <wp:effectExtent b="0" l="0" r="0" t="0"/>
            <wp:docPr descr="Slide 11" title="" id="61" name="Picture"/>
            <a:graphic>
              <a:graphicData uri="http://schemas.openxmlformats.org/drawingml/2006/picture">
                <pic:pic>
                  <pic:nvPicPr>
                    <pic:cNvPr descr="Images/Slide11.png" id="62" name="Picture"/>
                    <pic:cNvPicPr>
                      <a:picLocks noChangeArrowheads="1" noChangeAspect="1"/>
                    </pic:cNvPicPr>
                  </pic:nvPicPr>
                  <pic:blipFill>
                    <a:blip r:embed="rId6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63"/>
    <w:bookmarkStart w:id="67" w:name="cm-library---part-e"/>
    <w:p>
      <w:pPr>
        <w:pStyle w:val="Heading2"/>
      </w:pPr>
      <w:r>
        <w:t xml:space="preserve">1.12 CM Library - Part E</w:t>
      </w:r>
    </w:p>
    <w:p>
      <w:pPr>
        <w:pStyle w:val="FirstParagraph"/>
      </w:pPr>
      <w:r>
        <w:t xml:space="preserve">Please review the following slide:</w:t>
      </w:r>
      <w:r>
        <w:t xml:space="preserve"> </w:t>
      </w:r>
      <w:r>
        <w:drawing>
          <wp:inline>
            <wp:extent cx="5334000" cy="3000375"/>
            <wp:effectExtent b="0" l="0" r="0" t="0"/>
            <wp:docPr descr="Slide 12" title="" id="65" name="Picture"/>
            <a:graphic>
              <a:graphicData uri="http://schemas.openxmlformats.org/drawingml/2006/picture">
                <pic:pic>
                  <pic:nvPicPr>
                    <pic:cNvPr descr="Images/Slide12.png" id="66" name="Picture"/>
                    <pic:cNvPicPr>
                      <a:picLocks noChangeArrowheads="1" noChangeAspect="1"/>
                    </pic:cNvPicPr>
                  </pic:nvPicPr>
                  <pic:blipFill>
                    <a:blip r:embed="rId6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67"/>
    <w:bookmarkStart w:id="71" w:name="cdl-tools-for-excel-engine-c"/>
    <w:p>
      <w:pPr>
        <w:pStyle w:val="Heading2"/>
      </w:pPr>
      <w:r>
        <w:t xml:space="preserve">1.13 CDL tools for Excel™ Engine C</w:t>
      </w:r>
    </w:p>
    <w:p>
      <w:pPr>
        <w:pStyle w:val="FirstParagraph"/>
      </w:pPr>
      <w:r>
        <w:t xml:space="preserve">Please review the following slide:</w:t>
      </w:r>
      <w:r>
        <w:t xml:space="preserve"> </w:t>
      </w:r>
      <w:r>
        <w:drawing>
          <wp:inline>
            <wp:extent cx="5334000" cy="3000375"/>
            <wp:effectExtent b="0" l="0" r="0" t="0"/>
            <wp:docPr descr="Slide 13" title="" id="69" name="Picture"/>
            <a:graphic>
              <a:graphicData uri="http://schemas.openxmlformats.org/drawingml/2006/picture">
                <pic:pic>
                  <pic:nvPicPr>
                    <pic:cNvPr descr="Images/Slide13.png" id="70" name="Picture"/>
                    <pic:cNvPicPr>
                      <a:picLocks noChangeArrowheads="1" noChangeAspect="1"/>
                    </pic:cNvPicPr>
                  </pic:nvPicPr>
                  <pic:blipFill>
                    <a:blip r:embed="rId6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71"/>
    <w:bookmarkStart w:id="75" w:name="cdl-tools-for-excel-engine-d"/>
    <w:p>
      <w:pPr>
        <w:pStyle w:val="Heading2"/>
      </w:pPr>
      <w:r>
        <w:t xml:space="preserve">1.14 CDL tools for Excel™ Engine D</w:t>
      </w:r>
    </w:p>
    <w:p>
      <w:pPr>
        <w:pStyle w:val="FirstParagraph"/>
      </w:pPr>
      <w:r>
        <w:t xml:space="preserve">Please review the following slide:</w:t>
      </w:r>
      <w:r>
        <w:t xml:space="preserve"> </w:t>
      </w:r>
      <w:r>
        <w:drawing>
          <wp:inline>
            <wp:extent cx="5334000" cy="3000375"/>
            <wp:effectExtent b="0" l="0" r="0" t="0"/>
            <wp:docPr descr="Slide 14" title="" id="73" name="Picture"/>
            <a:graphic>
              <a:graphicData uri="http://schemas.openxmlformats.org/drawingml/2006/picture">
                <pic:pic>
                  <pic:nvPicPr>
                    <pic:cNvPr descr="Images/Slide14.png" id="74" name="Picture"/>
                    <pic:cNvPicPr>
                      <a:picLocks noChangeArrowheads="1" noChangeAspect="1"/>
                    </pic:cNvPicPr>
                  </pic:nvPicPr>
                  <pic:blipFill>
                    <a:blip r:embed="rId72"/>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75"/>
    <w:bookmarkStart w:id="79" w:name="frs-development-steps"/>
    <w:p>
      <w:pPr>
        <w:pStyle w:val="Heading2"/>
      </w:pPr>
      <w:r>
        <w:t xml:space="preserve">1.15 FRS Development Steps</w:t>
      </w:r>
    </w:p>
    <w:p>
      <w:pPr>
        <w:pStyle w:val="FirstParagraph"/>
      </w:pPr>
      <w:r>
        <w:t xml:space="preserve">Please review the following slide:</w:t>
      </w:r>
      <w:r>
        <w:t xml:space="preserve"> </w:t>
      </w:r>
      <w:r>
        <w:drawing>
          <wp:inline>
            <wp:extent cx="5334000" cy="3000375"/>
            <wp:effectExtent b="0" l="0" r="0" t="0"/>
            <wp:docPr descr="Slide 15" title="" id="77" name="Picture"/>
            <a:graphic>
              <a:graphicData uri="http://schemas.openxmlformats.org/drawingml/2006/picture">
                <pic:pic>
                  <pic:nvPicPr>
                    <pic:cNvPr descr="Images/Slide15.png" id="78" name="Picture"/>
                    <pic:cNvPicPr>
                      <a:picLocks noChangeArrowheads="1" noChangeAspect="1"/>
                    </pic:cNvPicPr>
                  </pic:nvPicPr>
                  <pic:blipFill>
                    <a:blip r:embed="rId76"/>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79"/>
    <w:bookmarkStart w:id="83" w:name="frs-development-steps-1"/>
    <w:p>
      <w:pPr>
        <w:pStyle w:val="Heading2"/>
      </w:pPr>
      <w:r>
        <w:t xml:space="preserve">1.16 FRS Development Steps</w:t>
      </w:r>
    </w:p>
    <w:p>
      <w:pPr>
        <w:pStyle w:val="FirstParagraph"/>
      </w:pPr>
      <w:r>
        <w:t xml:space="preserve">Please review the following slide:</w:t>
      </w:r>
      <w:r>
        <w:t xml:space="preserve"> </w:t>
      </w:r>
      <w:r>
        <w:drawing>
          <wp:inline>
            <wp:extent cx="5334000" cy="3000375"/>
            <wp:effectExtent b="0" l="0" r="0" t="0"/>
            <wp:docPr descr="Slide 16" title="" id="81" name="Picture"/>
            <a:graphic>
              <a:graphicData uri="http://schemas.openxmlformats.org/drawingml/2006/picture">
                <pic:pic>
                  <pic:nvPicPr>
                    <pic:cNvPr descr="Images/Slide16.png" id="82" name="Picture"/>
                    <pic:cNvPicPr>
                      <a:picLocks noChangeArrowheads="1" noChangeAspect="1"/>
                    </pic:cNvPicPr>
                  </pic:nvPicPr>
                  <pic:blipFill>
                    <a:blip r:embed="rId8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83"/>
    <w:bookmarkStart w:id="87" w:name="part-1-assign-io-to-ccm-and-cm"/>
    <w:p>
      <w:pPr>
        <w:pStyle w:val="Heading2"/>
      </w:pPr>
      <w:r>
        <w:t xml:space="preserve">1.17 Part 1 – Assign IO to CCM and CM</w:t>
      </w:r>
    </w:p>
    <w:p>
      <w:pPr>
        <w:pStyle w:val="FirstParagraph"/>
      </w:pPr>
      <w:r>
        <w:t xml:space="preserve">Please review the following slide:</w:t>
      </w:r>
      <w:r>
        <w:t xml:space="preserve"> </w:t>
      </w:r>
      <w:r>
        <w:drawing>
          <wp:inline>
            <wp:extent cx="5334000" cy="3000375"/>
            <wp:effectExtent b="0" l="0" r="0" t="0"/>
            <wp:docPr descr="Slide 17" title="" id="85" name="Picture"/>
            <a:graphic>
              <a:graphicData uri="http://schemas.openxmlformats.org/drawingml/2006/picture">
                <pic:pic>
                  <pic:nvPicPr>
                    <pic:cNvPr descr="Images/Slide17.png" id="86" name="Picture"/>
                    <pic:cNvPicPr>
                      <a:picLocks noChangeArrowheads="1" noChangeAspect="1"/>
                    </pic:cNvPicPr>
                  </pic:nvPicPr>
                  <pic:blipFill>
                    <a:blip r:embed="rId8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87"/>
    <w:bookmarkStart w:id="91" w:name="part-1-assign-io-to-ccm-and-cm-1"/>
    <w:p>
      <w:pPr>
        <w:pStyle w:val="Heading2"/>
      </w:pPr>
      <w:r>
        <w:t xml:space="preserve">1.18 Part 1 – Assign IO to CCM and CM</w:t>
      </w:r>
    </w:p>
    <w:p>
      <w:pPr>
        <w:pStyle w:val="FirstParagraph"/>
      </w:pPr>
      <w:r>
        <w:t xml:space="preserve">Please review the following slide:</w:t>
      </w:r>
      <w:r>
        <w:t xml:space="preserve"> </w:t>
      </w:r>
      <w:r>
        <w:drawing>
          <wp:inline>
            <wp:extent cx="5334000" cy="3000375"/>
            <wp:effectExtent b="0" l="0" r="0" t="0"/>
            <wp:docPr descr="Slide 18" title="" id="89" name="Picture"/>
            <a:graphic>
              <a:graphicData uri="http://schemas.openxmlformats.org/drawingml/2006/picture">
                <pic:pic>
                  <pic:nvPicPr>
                    <pic:cNvPr descr="Images/Slide18.png" id="90" name="Picture"/>
                    <pic:cNvPicPr>
                      <a:picLocks noChangeArrowheads="1" noChangeAspect="1"/>
                    </pic:cNvPicPr>
                  </pic:nvPicPr>
                  <pic:blipFill>
                    <a:blip r:embed="rId8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91"/>
    <w:bookmarkStart w:id="95" w:name="part-1-assign-io-to-ccm-and-cm-2"/>
    <w:p>
      <w:pPr>
        <w:pStyle w:val="Heading2"/>
      </w:pPr>
      <w:r>
        <w:t xml:space="preserve">1.19 Part 1 – Assign IO to CCM and CM</w:t>
      </w:r>
    </w:p>
    <w:p>
      <w:pPr>
        <w:pStyle w:val="FirstParagraph"/>
      </w:pPr>
      <w:r>
        <w:t xml:space="preserve">Please review the following slide:</w:t>
      </w:r>
      <w:r>
        <w:t xml:space="preserve"> </w:t>
      </w:r>
      <w:r>
        <w:drawing>
          <wp:inline>
            <wp:extent cx="5334000" cy="3000375"/>
            <wp:effectExtent b="0" l="0" r="0" t="0"/>
            <wp:docPr descr="Slide 19" title="" id="93" name="Picture"/>
            <a:graphic>
              <a:graphicData uri="http://schemas.openxmlformats.org/drawingml/2006/picture">
                <pic:pic>
                  <pic:nvPicPr>
                    <pic:cNvPr descr="Images/Slide19.png" id="94" name="Picture"/>
                    <pic:cNvPicPr>
                      <a:picLocks noChangeArrowheads="1" noChangeAspect="1"/>
                    </pic:cNvPicPr>
                  </pic:nvPicPr>
                  <pic:blipFill>
                    <a:blip r:embed="rId92"/>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95"/>
    <w:bookmarkStart w:id="99" w:name="part-1-assign-io-to-ccm-and-cm-3"/>
    <w:p>
      <w:pPr>
        <w:pStyle w:val="Heading2"/>
      </w:pPr>
      <w:r>
        <w:t xml:space="preserve">1.20 Part 1 – Assign IO to CCM and CM</w:t>
      </w:r>
    </w:p>
    <w:p>
      <w:pPr>
        <w:pStyle w:val="FirstParagraph"/>
      </w:pPr>
      <w:r>
        <w:t xml:space="preserve">Please review the following slide:</w:t>
      </w:r>
      <w:r>
        <w:t xml:space="preserve"> </w:t>
      </w:r>
      <w:r>
        <w:drawing>
          <wp:inline>
            <wp:extent cx="5334000" cy="3000375"/>
            <wp:effectExtent b="0" l="0" r="0" t="0"/>
            <wp:docPr descr="Slide 20" title="" id="97" name="Picture"/>
            <a:graphic>
              <a:graphicData uri="http://schemas.openxmlformats.org/drawingml/2006/picture">
                <pic:pic>
                  <pic:nvPicPr>
                    <pic:cNvPr descr="Images/Slide20.png" id="98" name="Picture"/>
                    <pic:cNvPicPr>
                      <a:picLocks noChangeArrowheads="1" noChangeAspect="1"/>
                    </pic:cNvPicPr>
                  </pic:nvPicPr>
                  <pic:blipFill>
                    <a:blip r:embed="rId96"/>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99"/>
    <w:bookmarkStart w:id="103" w:name="part-1-assign-io-to-ccm-and-cm-4"/>
    <w:p>
      <w:pPr>
        <w:pStyle w:val="Heading2"/>
      </w:pPr>
      <w:r>
        <w:t xml:space="preserve">1.21 Part 1 – Assign IO to CCM and CM</w:t>
      </w:r>
    </w:p>
    <w:p>
      <w:pPr>
        <w:pStyle w:val="FirstParagraph"/>
      </w:pPr>
      <w:r>
        <w:t xml:space="preserve">Please review the following slide:</w:t>
      </w:r>
      <w:r>
        <w:t xml:space="preserve"> </w:t>
      </w:r>
      <w:r>
        <w:drawing>
          <wp:inline>
            <wp:extent cx="5334000" cy="3000375"/>
            <wp:effectExtent b="0" l="0" r="0" t="0"/>
            <wp:docPr descr="Slide 21" title="" id="101" name="Picture"/>
            <a:graphic>
              <a:graphicData uri="http://schemas.openxmlformats.org/drawingml/2006/picture">
                <pic:pic>
                  <pic:nvPicPr>
                    <pic:cNvPr descr="Images/Slide21.png" id="102" name="Picture"/>
                    <pic:cNvPicPr>
                      <a:picLocks noChangeArrowheads="1" noChangeAspect="1"/>
                    </pic:cNvPicPr>
                  </pic:nvPicPr>
                  <pic:blipFill>
                    <a:blip r:embed="rId10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03"/>
    <w:bookmarkStart w:id="107" w:name="part-1-assign-io-to-ccm-and-cm-5"/>
    <w:p>
      <w:pPr>
        <w:pStyle w:val="Heading2"/>
      </w:pPr>
      <w:r>
        <w:t xml:space="preserve">1.22 Part 1 – Assign IO to CCM and CM</w:t>
      </w:r>
    </w:p>
    <w:p>
      <w:pPr>
        <w:pStyle w:val="FirstParagraph"/>
      </w:pPr>
      <w:r>
        <w:t xml:space="preserve">Please review the following slide:</w:t>
      </w:r>
      <w:r>
        <w:t xml:space="preserve"> </w:t>
      </w:r>
      <w:r>
        <w:drawing>
          <wp:inline>
            <wp:extent cx="5334000" cy="3000375"/>
            <wp:effectExtent b="0" l="0" r="0" t="0"/>
            <wp:docPr descr="Slide 22" title="" id="105" name="Picture"/>
            <a:graphic>
              <a:graphicData uri="http://schemas.openxmlformats.org/drawingml/2006/picture">
                <pic:pic>
                  <pic:nvPicPr>
                    <pic:cNvPr descr="Images/Slide22.png" id="106" name="Picture"/>
                    <pic:cNvPicPr>
                      <a:picLocks noChangeArrowheads="1" noChangeAspect="1"/>
                    </pic:cNvPicPr>
                  </pic:nvPicPr>
                  <pic:blipFill>
                    <a:blip r:embed="rId10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07"/>
    <w:bookmarkStart w:id="111" w:name="X6cfb7e5eb1c4c4d4307aeba79b1c4d4d7a21a5a"/>
    <w:p>
      <w:pPr>
        <w:pStyle w:val="Heading2"/>
      </w:pPr>
      <w:r>
        <w:t xml:space="preserve">1.23 Part 2 – Mode of Operation, Steps and Transitions</w:t>
      </w:r>
    </w:p>
    <w:p>
      <w:pPr>
        <w:pStyle w:val="FirstParagraph"/>
      </w:pPr>
      <w:r>
        <w:t xml:space="preserve">Please review the following slide:</w:t>
      </w:r>
      <w:r>
        <w:t xml:space="preserve"> </w:t>
      </w:r>
      <w:r>
        <w:drawing>
          <wp:inline>
            <wp:extent cx="5334000" cy="3000375"/>
            <wp:effectExtent b="0" l="0" r="0" t="0"/>
            <wp:docPr descr="Slide 23" title="" id="109" name="Picture"/>
            <a:graphic>
              <a:graphicData uri="http://schemas.openxmlformats.org/drawingml/2006/picture">
                <pic:pic>
                  <pic:nvPicPr>
                    <pic:cNvPr descr="Images/Slide23.png" id="110" name="Picture"/>
                    <pic:cNvPicPr>
                      <a:picLocks noChangeArrowheads="1" noChangeAspect="1"/>
                    </pic:cNvPicPr>
                  </pic:nvPicPr>
                  <pic:blipFill>
                    <a:blip r:embed="rId10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11"/>
    <w:bookmarkStart w:id="115" w:name="Xe7cccac25b2c619fb8b987b95bb94f98c7db8dc"/>
    <w:p>
      <w:pPr>
        <w:pStyle w:val="Heading2"/>
      </w:pPr>
      <w:r>
        <w:t xml:space="preserve">1.24 Part 2 – Mode of Operation, Steps and Transitions</w:t>
      </w:r>
    </w:p>
    <w:p>
      <w:pPr>
        <w:pStyle w:val="FirstParagraph"/>
      </w:pPr>
      <w:r>
        <w:t xml:space="preserve">Please review the following slide:</w:t>
      </w:r>
      <w:r>
        <w:t xml:space="preserve"> </w:t>
      </w:r>
      <w:r>
        <w:drawing>
          <wp:inline>
            <wp:extent cx="5334000" cy="3000375"/>
            <wp:effectExtent b="0" l="0" r="0" t="0"/>
            <wp:docPr descr="Slide 24" title="" id="113" name="Picture"/>
            <a:graphic>
              <a:graphicData uri="http://schemas.openxmlformats.org/drawingml/2006/picture">
                <pic:pic>
                  <pic:nvPicPr>
                    <pic:cNvPr descr="Images/Slide24.png" id="114" name="Picture"/>
                    <pic:cNvPicPr>
                      <a:picLocks noChangeArrowheads="1" noChangeAspect="1"/>
                    </pic:cNvPicPr>
                  </pic:nvPicPr>
                  <pic:blipFill>
                    <a:blip r:embed="rId112"/>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15"/>
    <w:bookmarkStart w:id="119" w:name="X4652209d2e26c547a864339e9949d0ce2e4a36d"/>
    <w:p>
      <w:pPr>
        <w:pStyle w:val="Heading2"/>
      </w:pPr>
      <w:r>
        <w:t xml:space="preserve">1.25 Part 2 – Mode of Operation, Steps and Transitions</w:t>
      </w:r>
    </w:p>
    <w:p>
      <w:pPr>
        <w:pStyle w:val="FirstParagraph"/>
      </w:pPr>
      <w:r>
        <w:t xml:space="preserve">Please review the following slide:</w:t>
      </w:r>
      <w:r>
        <w:t xml:space="preserve"> </w:t>
      </w:r>
      <w:r>
        <w:drawing>
          <wp:inline>
            <wp:extent cx="5334000" cy="3000375"/>
            <wp:effectExtent b="0" l="0" r="0" t="0"/>
            <wp:docPr descr="Slide 25" title="" id="117" name="Picture"/>
            <a:graphic>
              <a:graphicData uri="http://schemas.openxmlformats.org/drawingml/2006/picture">
                <pic:pic>
                  <pic:nvPicPr>
                    <pic:cNvPr descr="Images/Slide25.png" id="118" name="Picture"/>
                    <pic:cNvPicPr>
                      <a:picLocks noChangeArrowheads="1" noChangeAspect="1"/>
                    </pic:cNvPicPr>
                  </pic:nvPicPr>
                  <pic:blipFill>
                    <a:blip r:embed="rId116"/>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19"/>
    <w:bookmarkStart w:id="123" w:name="X2fe0bee9fd75b578b671789afd78010f9284a8d"/>
    <w:p>
      <w:pPr>
        <w:pStyle w:val="Heading2"/>
      </w:pPr>
      <w:r>
        <w:t xml:space="preserve">1.26 Part 2 – Mode of Operation, Steps and Transitions</w:t>
      </w:r>
    </w:p>
    <w:p>
      <w:pPr>
        <w:pStyle w:val="FirstParagraph"/>
      </w:pPr>
      <w:r>
        <w:t xml:space="preserve">Please review the following slide:</w:t>
      </w:r>
      <w:r>
        <w:t xml:space="preserve"> </w:t>
      </w:r>
      <w:r>
        <w:drawing>
          <wp:inline>
            <wp:extent cx="5334000" cy="3000375"/>
            <wp:effectExtent b="0" l="0" r="0" t="0"/>
            <wp:docPr descr="Slide 26" title="" id="121" name="Picture"/>
            <a:graphic>
              <a:graphicData uri="http://schemas.openxmlformats.org/drawingml/2006/picture">
                <pic:pic>
                  <pic:nvPicPr>
                    <pic:cNvPr descr="Images/Slide26.png" id="122" name="Picture"/>
                    <pic:cNvPicPr>
                      <a:picLocks noChangeArrowheads="1" noChangeAspect="1"/>
                    </pic:cNvPicPr>
                  </pic:nvPicPr>
                  <pic:blipFill>
                    <a:blip r:embed="rId12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23"/>
    <w:bookmarkStart w:id="127" w:name="Xc2a0b8ca1cc14bf44953654fd388b6f17eea119"/>
    <w:p>
      <w:pPr>
        <w:pStyle w:val="Heading2"/>
      </w:pPr>
      <w:r>
        <w:t xml:space="preserve">1.27 Part 2 – Mode of Operation, Steps and Transitions</w:t>
      </w:r>
    </w:p>
    <w:p>
      <w:pPr>
        <w:pStyle w:val="FirstParagraph"/>
      </w:pPr>
      <w:r>
        <w:t xml:space="preserve">Please review the following slide:</w:t>
      </w:r>
      <w:r>
        <w:t xml:space="preserve"> </w:t>
      </w:r>
      <w:r>
        <w:drawing>
          <wp:inline>
            <wp:extent cx="5334000" cy="3000375"/>
            <wp:effectExtent b="0" l="0" r="0" t="0"/>
            <wp:docPr descr="Slide 27" title="" id="125" name="Picture"/>
            <a:graphic>
              <a:graphicData uri="http://schemas.openxmlformats.org/drawingml/2006/picture">
                <pic:pic>
                  <pic:nvPicPr>
                    <pic:cNvPr descr="Images/Slide27.png" id="126" name="Picture"/>
                    <pic:cNvPicPr>
                      <a:picLocks noChangeArrowheads="1" noChangeAspect="1"/>
                    </pic:cNvPicPr>
                  </pic:nvPicPr>
                  <pic:blipFill>
                    <a:blip r:embed="rId12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27"/>
    <w:bookmarkStart w:id="131" w:name="part-3-build-ccm-enablement-to-steps"/>
    <w:p>
      <w:pPr>
        <w:pStyle w:val="Heading2"/>
      </w:pPr>
      <w:r>
        <w:t xml:space="preserve">1.28 Part 3 – Build CCM Enablement to Steps</w:t>
      </w:r>
    </w:p>
    <w:p>
      <w:pPr>
        <w:pStyle w:val="FirstParagraph"/>
      </w:pPr>
      <w:r>
        <w:t xml:space="preserve">Please review the following slide:</w:t>
      </w:r>
      <w:r>
        <w:t xml:space="preserve"> </w:t>
      </w:r>
      <w:r>
        <w:drawing>
          <wp:inline>
            <wp:extent cx="5334000" cy="3000375"/>
            <wp:effectExtent b="0" l="0" r="0" t="0"/>
            <wp:docPr descr="Slide 28" title="" id="129" name="Picture"/>
            <a:graphic>
              <a:graphicData uri="http://schemas.openxmlformats.org/drawingml/2006/picture">
                <pic:pic>
                  <pic:nvPicPr>
                    <pic:cNvPr descr="Images/Slide28.png" id="130" name="Picture"/>
                    <pic:cNvPicPr>
                      <a:picLocks noChangeArrowheads="1" noChangeAspect="1"/>
                    </pic:cNvPicPr>
                  </pic:nvPicPr>
                  <pic:blipFill>
                    <a:blip r:embed="rId12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31"/>
    <w:bookmarkStart w:id="135" w:name="X5ad3cfa0d29ba8cbf480e7cd635ea36d25f3704"/>
    <w:p>
      <w:pPr>
        <w:pStyle w:val="Heading2"/>
      </w:pPr>
      <w:r>
        <w:t xml:space="preserve">1.29 Part 2 – Mode of Operation, Steps and Transitions</w:t>
      </w:r>
    </w:p>
    <w:p>
      <w:pPr>
        <w:pStyle w:val="FirstParagraph"/>
      </w:pPr>
      <w:r>
        <w:t xml:space="preserve">Please review the following slide:</w:t>
      </w:r>
      <w:r>
        <w:t xml:space="preserve"> </w:t>
      </w:r>
      <w:r>
        <w:drawing>
          <wp:inline>
            <wp:extent cx="5334000" cy="3000375"/>
            <wp:effectExtent b="0" l="0" r="0" t="0"/>
            <wp:docPr descr="Slide 29" title="" id="133" name="Picture"/>
            <a:graphic>
              <a:graphicData uri="http://schemas.openxmlformats.org/drawingml/2006/picture">
                <pic:pic>
                  <pic:nvPicPr>
                    <pic:cNvPr descr="Images/Slide29.png" id="134" name="Picture"/>
                    <pic:cNvPicPr>
                      <a:picLocks noChangeArrowheads="1" noChangeAspect="1"/>
                    </pic:cNvPicPr>
                  </pic:nvPicPr>
                  <pic:blipFill>
                    <a:blip r:embed="rId132"/>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35"/>
    <w:bookmarkStart w:id="139" w:name="part-4-review-ccm-enablement-dynamically"/>
    <w:p>
      <w:pPr>
        <w:pStyle w:val="Heading2"/>
      </w:pPr>
      <w:r>
        <w:t xml:space="preserve">1.30 Part 4 – Review CCM Enablement Dynamically</w:t>
      </w:r>
    </w:p>
    <w:p>
      <w:pPr>
        <w:pStyle w:val="FirstParagraph"/>
      </w:pPr>
      <w:r>
        <w:t xml:space="preserve">Please review the following slide:</w:t>
      </w:r>
      <w:r>
        <w:t xml:space="preserve"> </w:t>
      </w:r>
      <w:r>
        <w:drawing>
          <wp:inline>
            <wp:extent cx="5334000" cy="3000375"/>
            <wp:effectExtent b="0" l="0" r="0" t="0"/>
            <wp:docPr descr="Slide 30" title="" id="137" name="Picture"/>
            <a:graphic>
              <a:graphicData uri="http://schemas.openxmlformats.org/drawingml/2006/picture">
                <pic:pic>
                  <pic:nvPicPr>
                    <pic:cNvPr descr="Images/Slide30.png" id="138" name="Picture"/>
                    <pic:cNvPicPr>
                      <a:picLocks noChangeArrowheads="1" noChangeAspect="1"/>
                    </pic:cNvPicPr>
                  </pic:nvPicPr>
                  <pic:blipFill>
                    <a:blip r:embed="rId136"/>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39"/>
    <w:bookmarkStart w:id="143" w:name="part-3-build-ccm-enablement-to-steps-1"/>
    <w:p>
      <w:pPr>
        <w:pStyle w:val="Heading2"/>
      </w:pPr>
      <w:r>
        <w:t xml:space="preserve">1.31 Part 3 – Build CCM Enablement to Steps</w:t>
      </w:r>
    </w:p>
    <w:p>
      <w:pPr>
        <w:pStyle w:val="FirstParagraph"/>
      </w:pPr>
      <w:r>
        <w:t xml:space="preserve">Please review the following slide:</w:t>
      </w:r>
      <w:r>
        <w:t xml:space="preserve"> </w:t>
      </w:r>
      <w:r>
        <w:drawing>
          <wp:inline>
            <wp:extent cx="5334000" cy="3000375"/>
            <wp:effectExtent b="0" l="0" r="0" t="0"/>
            <wp:docPr descr="Slide 31" title="" id="141" name="Picture"/>
            <a:graphic>
              <a:graphicData uri="http://schemas.openxmlformats.org/drawingml/2006/picture">
                <pic:pic>
                  <pic:nvPicPr>
                    <pic:cNvPr descr="Images/Slide31.png" id="142" name="Picture"/>
                    <pic:cNvPicPr>
                      <a:picLocks noChangeArrowheads="1" noChangeAspect="1"/>
                    </pic:cNvPicPr>
                  </pic:nvPicPr>
                  <pic:blipFill>
                    <a:blip r:embed="rId14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43"/>
    <w:bookmarkStart w:id="147" w:name="part-3-build-ccm-enablement-to-steps-2"/>
    <w:p>
      <w:pPr>
        <w:pStyle w:val="Heading2"/>
      </w:pPr>
      <w:r>
        <w:t xml:space="preserve">1.32 Part 3 – Build CCM Enablement to Steps</w:t>
      </w:r>
    </w:p>
    <w:p>
      <w:pPr>
        <w:pStyle w:val="FirstParagraph"/>
      </w:pPr>
      <w:r>
        <w:t xml:space="preserve">Please review the following slide:</w:t>
      </w:r>
      <w:r>
        <w:t xml:space="preserve"> </w:t>
      </w:r>
      <w:r>
        <w:drawing>
          <wp:inline>
            <wp:extent cx="5334000" cy="3000375"/>
            <wp:effectExtent b="0" l="0" r="0" t="0"/>
            <wp:docPr descr="Slide 32" title="" id="145" name="Picture"/>
            <a:graphic>
              <a:graphicData uri="http://schemas.openxmlformats.org/drawingml/2006/picture">
                <pic:pic>
                  <pic:nvPicPr>
                    <pic:cNvPr descr="Images/Slide32.png" id="146" name="Picture"/>
                    <pic:cNvPicPr>
                      <a:picLocks noChangeArrowheads="1" noChangeAspect="1"/>
                    </pic:cNvPicPr>
                  </pic:nvPicPr>
                  <pic:blipFill>
                    <a:blip r:embed="rId14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47"/>
    <w:bookmarkStart w:id="151" w:name="part-5-review-the-pcode-and-dictionary"/>
    <w:p>
      <w:pPr>
        <w:pStyle w:val="Heading2"/>
      </w:pPr>
      <w:r>
        <w:t xml:space="preserve">1.33 Part 5 – Review the pCode and Dictionary</w:t>
      </w:r>
    </w:p>
    <w:p>
      <w:pPr>
        <w:pStyle w:val="FirstParagraph"/>
      </w:pPr>
      <w:r>
        <w:t xml:space="preserve">Please review the following slide:</w:t>
      </w:r>
      <w:r>
        <w:t xml:space="preserve"> </w:t>
      </w:r>
      <w:r>
        <w:drawing>
          <wp:inline>
            <wp:extent cx="5334000" cy="3000375"/>
            <wp:effectExtent b="0" l="0" r="0" t="0"/>
            <wp:docPr descr="Slide 33" title="" id="149" name="Picture"/>
            <a:graphic>
              <a:graphicData uri="http://schemas.openxmlformats.org/drawingml/2006/picture">
                <pic:pic>
                  <pic:nvPicPr>
                    <pic:cNvPr descr="Images/Slide33.png" id="150" name="Picture"/>
                    <pic:cNvPicPr>
                      <a:picLocks noChangeArrowheads="1" noChangeAspect="1"/>
                    </pic:cNvPicPr>
                  </pic:nvPicPr>
                  <pic:blipFill>
                    <a:blip r:embed="rId14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51"/>
    <w:bookmarkStart w:id="155" w:name="part-5-review-the-pcode-and-dictionary-1"/>
    <w:p>
      <w:pPr>
        <w:pStyle w:val="Heading2"/>
      </w:pPr>
      <w:r>
        <w:t xml:space="preserve">1.34 Part 5 – Review the pCode and Dictionary</w:t>
      </w:r>
    </w:p>
    <w:p>
      <w:pPr>
        <w:pStyle w:val="FirstParagraph"/>
      </w:pPr>
      <w:r>
        <w:t xml:space="preserve">Please review the following slide:</w:t>
      </w:r>
      <w:r>
        <w:t xml:space="preserve"> </w:t>
      </w:r>
      <w:r>
        <w:drawing>
          <wp:inline>
            <wp:extent cx="5334000" cy="3000375"/>
            <wp:effectExtent b="0" l="0" r="0" t="0"/>
            <wp:docPr descr="Slide 34" title="" id="153" name="Picture"/>
            <a:graphic>
              <a:graphicData uri="http://schemas.openxmlformats.org/drawingml/2006/picture">
                <pic:pic>
                  <pic:nvPicPr>
                    <pic:cNvPr descr="Images/Slide34.png" id="154" name="Picture"/>
                    <pic:cNvPicPr>
                      <a:picLocks noChangeArrowheads="1" noChangeAspect="1"/>
                    </pic:cNvPicPr>
                  </pic:nvPicPr>
                  <pic:blipFill>
                    <a:blip r:embed="rId152"/>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55"/>
    <w:bookmarkStart w:id="159" w:name="part-5-review-the-pcode-and-dictionary-2"/>
    <w:p>
      <w:pPr>
        <w:pStyle w:val="Heading2"/>
      </w:pPr>
      <w:r>
        <w:t xml:space="preserve">1.35 Part 5 – Review the pCode and Dictionary</w:t>
      </w:r>
    </w:p>
    <w:p>
      <w:pPr>
        <w:pStyle w:val="FirstParagraph"/>
      </w:pPr>
      <w:r>
        <w:t xml:space="preserve">Please review the following slide:</w:t>
      </w:r>
      <w:r>
        <w:t xml:space="preserve"> </w:t>
      </w:r>
      <w:r>
        <w:drawing>
          <wp:inline>
            <wp:extent cx="5334000" cy="3000375"/>
            <wp:effectExtent b="0" l="0" r="0" t="0"/>
            <wp:docPr descr="Slide 35" title="" id="157" name="Picture"/>
            <a:graphic>
              <a:graphicData uri="http://schemas.openxmlformats.org/drawingml/2006/picture">
                <pic:pic>
                  <pic:nvPicPr>
                    <pic:cNvPr descr="Images/Slide35.png" id="158" name="Picture"/>
                    <pic:cNvPicPr>
                      <a:picLocks noChangeArrowheads="1" noChangeAspect="1"/>
                    </pic:cNvPicPr>
                  </pic:nvPicPr>
                  <pic:blipFill>
                    <a:blip r:embed="rId156"/>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59"/>
    <w:bookmarkStart w:id="163" w:name="part-5-review-the-pcode-and-dictionary-3"/>
    <w:p>
      <w:pPr>
        <w:pStyle w:val="Heading2"/>
      </w:pPr>
      <w:r>
        <w:t xml:space="preserve">1.36 Part 5 – Review the pCode and Dictionary</w:t>
      </w:r>
    </w:p>
    <w:p>
      <w:pPr>
        <w:pStyle w:val="FirstParagraph"/>
      </w:pPr>
      <w:r>
        <w:t xml:space="preserve">Please review the following slide:</w:t>
      </w:r>
      <w:r>
        <w:t xml:space="preserve"> </w:t>
      </w:r>
      <w:r>
        <w:drawing>
          <wp:inline>
            <wp:extent cx="5334000" cy="3000375"/>
            <wp:effectExtent b="0" l="0" r="0" t="0"/>
            <wp:docPr descr="Slide 36" title="" id="161" name="Picture"/>
            <a:graphic>
              <a:graphicData uri="http://schemas.openxmlformats.org/drawingml/2006/picture">
                <pic:pic>
                  <pic:nvPicPr>
                    <pic:cNvPr descr="Images/Slide36.png" id="162" name="Picture"/>
                    <pic:cNvPicPr>
                      <a:picLocks noChangeArrowheads="1" noChangeAspect="1"/>
                    </pic:cNvPicPr>
                  </pic:nvPicPr>
                  <pic:blipFill>
                    <a:blip r:embed="rId16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63"/>
    <w:bookmarkStart w:id="167" w:name="presentation-agenda-2"/>
    <w:p>
      <w:pPr>
        <w:pStyle w:val="Heading2"/>
      </w:pPr>
      <w:r>
        <w:t xml:space="preserve">1.37 Presentation Agenda</w:t>
      </w:r>
    </w:p>
    <w:p>
      <w:pPr>
        <w:pStyle w:val="FirstParagraph"/>
      </w:pPr>
      <w:r>
        <w:t xml:space="preserve">Please review the following slide:</w:t>
      </w:r>
      <w:r>
        <w:t xml:space="preserve"> </w:t>
      </w:r>
      <w:r>
        <w:drawing>
          <wp:inline>
            <wp:extent cx="5334000" cy="3000375"/>
            <wp:effectExtent b="0" l="0" r="0" t="0"/>
            <wp:docPr descr="Slide 37" title="" id="165" name="Picture"/>
            <a:graphic>
              <a:graphicData uri="http://schemas.openxmlformats.org/drawingml/2006/picture">
                <pic:pic>
                  <pic:nvPicPr>
                    <pic:cNvPr descr="Images/Slide37.png" id="166" name="Picture"/>
                    <pic:cNvPicPr>
                      <a:picLocks noChangeArrowheads="1" noChangeAspect="1"/>
                    </pic:cNvPicPr>
                  </pic:nvPicPr>
                  <pic:blipFill>
                    <a:blip r:embed="rId16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67"/>
    <w:bookmarkStart w:id="171" w:name="question-and-answers"/>
    <w:p>
      <w:pPr>
        <w:pStyle w:val="Heading2"/>
      </w:pPr>
      <w:r>
        <w:t xml:space="preserve">1.38 Question and Answers</w:t>
      </w:r>
    </w:p>
    <w:p>
      <w:pPr>
        <w:pStyle w:val="FirstParagraph"/>
      </w:pPr>
      <w:r>
        <w:t xml:space="preserve">Please review the following slide:</w:t>
      </w:r>
      <w:r>
        <w:t xml:space="preserve"> </w:t>
      </w:r>
      <w:r>
        <w:drawing>
          <wp:inline>
            <wp:extent cx="5334000" cy="3000375"/>
            <wp:effectExtent b="0" l="0" r="0" t="0"/>
            <wp:docPr descr="Slide 38" title="" id="169" name="Picture"/>
            <a:graphic>
              <a:graphicData uri="http://schemas.openxmlformats.org/drawingml/2006/picture">
                <pic:pic>
                  <pic:nvPicPr>
                    <pic:cNvPr descr="Images/Slide38.png" id="170" name="Picture"/>
                    <pic:cNvPicPr>
                      <a:picLocks noChangeArrowheads="1" noChangeAspect="1"/>
                    </pic:cNvPicPr>
                  </pic:nvPicPr>
                  <pic:blipFill>
                    <a:blip r:embed="rId16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71"/>
    <w:bookmarkEnd w:id="17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56" Target="media/rId56.png" /><Relationship Type="http://schemas.openxmlformats.org/officeDocument/2006/relationships/image" Id="rId60" Target="media/rId60.png" /><Relationship Type="http://schemas.openxmlformats.org/officeDocument/2006/relationships/image" Id="rId64" Target="media/rId64.png" /><Relationship Type="http://schemas.openxmlformats.org/officeDocument/2006/relationships/image" Id="rId68" Target="media/rId68.png" /><Relationship Type="http://schemas.openxmlformats.org/officeDocument/2006/relationships/image" Id="rId72" Target="media/rId72.png" /><Relationship Type="http://schemas.openxmlformats.org/officeDocument/2006/relationships/image" Id="rId76" Target="media/rId76.png" /><Relationship Type="http://schemas.openxmlformats.org/officeDocument/2006/relationships/image" Id="rId80" Target="media/rId80.png" /><Relationship Type="http://schemas.openxmlformats.org/officeDocument/2006/relationships/image" Id="rId84" Target="media/rId84.png" /><Relationship Type="http://schemas.openxmlformats.org/officeDocument/2006/relationships/image" Id="rId88" Target="media/rId88.png" /><Relationship Type="http://schemas.openxmlformats.org/officeDocument/2006/relationships/image" Id="rId92" Target="media/rId92.png" /><Relationship Type="http://schemas.openxmlformats.org/officeDocument/2006/relationships/image" Id="rId24" Target="media/rId24.png" /><Relationship Type="http://schemas.openxmlformats.org/officeDocument/2006/relationships/image" Id="rId96" Target="media/rId96.png" /><Relationship Type="http://schemas.openxmlformats.org/officeDocument/2006/relationships/image" Id="rId100" Target="media/rId100.png" /><Relationship Type="http://schemas.openxmlformats.org/officeDocument/2006/relationships/image" Id="rId104" Target="media/rId104.png" /><Relationship Type="http://schemas.openxmlformats.org/officeDocument/2006/relationships/image" Id="rId108" Target="media/rId108.png" /><Relationship Type="http://schemas.openxmlformats.org/officeDocument/2006/relationships/image" Id="rId112" Target="media/rId112.png" /><Relationship Type="http://schemas.openxmlformats.org/officeDocument/2006/relationships/image" Id="rId116" Target="media/rId116.png" /><Relationship Type="http://schemas.openxmlformats.org/officeDocument/2006/relationships/image" Id="rId120" Target="media/rId120.png" /><Relationship Type="http://schemas.openxmlformats.org/officeDocument/2006/relationships/image" Id="rId124" Target="media/rId124.png" /><Relationship Type="http://schemas.openxmlformats.org/officeDocument/2006/relationships/image" Id="rId128" Target="media/rId128.png" /><Relationship Type="http://schemas.openxmlformats.org/officeDocument/2006/relationships/image" Id="rId132" Target="media/rId132.png" /><Relationship Type="http://schemas.openxmlformats.org/officeDocument/2006/relationships/image" Id="rId28" Target="media/rId28.png" /><Relationship Type="http://schemas.openxmlformats.org/officeDocument/2006/relationships/image" Id="rId136" Target="media/rId136.png" /><Relationship Type="http://schemas.openxmlformats.org/officeDocument/2006/relationships/image" Id="rId140" Target="media/rId140.png" /><Relationship Type="http://schemas.openxmlformats.org/officeDocument/2006/relationships/image" Id="rId144" Target="media/rId144.png" /><Relationship Type="http://schemas.openxmlformats.org/officeDocument/2006/relationships/image" Id="rId148" Target="media/rId148.png" /><Relationship Type="http://schemas.openxmlformats.org/officeDocument/2006/relationships/image" Id="rId152" Target="media/rId152.png" /><Relationship Type="http://schemas.openxmlformats.org/officeDocument/2006/relationships/image" Id="rId156" Target="media/rId156.png" /><Relationship Type="http://schemas.openxmlformats.org/officeDocument/2006/relationships/image" Id="rId160" Target="media/rId160.png" /><Relationship Type="http://schemas.openxmlformats.org/officeDocument/2006/relationships/image" Id="rId164" Target="media/rId164.png" /><Relationship Type="http://schemas.openxmlformats.org/officeDocument/2006/relationships/image" Id="rId168" Target="media/rId168.png" /><Relationship Type="http://schemas.openxmlformats.org/officeDocument/2006/relationships/image" Id="rId32" Target="media/rId32.png" /><Relationship Type="http://schemas.openxmlformats.org/officeDocument/2006/relationships/image" Id="rId36" Target="media/rId36.png" /><Relationship Type="http://schemas.openxmlformats.org/officeDocument/2006/relationships/image" Id="rId40" Target="media/rId40.png" /><Relationship Type="http://schemas.openxmlformats.org/officeDocument/2006/relationships/image" Id="rId44" Target="media/rId44.png" /><Relationship Type="http://schemas.openxmlformats.org/officeDocument/2006/relationships/image" Id="rId48" Target="media/rId48.png" /><Relationship Type="http://schemas.openxmlformats.org/officeDocument/2006/relationships/image" Id="rId52" Target="media/rId52.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I-CDL tools to develop FRS</dc:title>
  <dc:creator>CTRL Designer LLC</dc:creator>
  <cp:keywords/>
  <dcterms:created xsi:type="dcterms:W3CDTF">2024-10-10T10:02:32Z</dcterms:created>
  <dcterms:modified xsi:type="dcterms:W3CDTF">2024-10-10T10:02:32Z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2024.10.10</vt:lpwstr>
  </property>
  <property fmtid="{D5CDD505-2E9C-101B-9397-08002B2CF9AE}" pid="6" name="date-format">
    <vt:lpwstr>YYYY.MM.DD</vt:lpwstr>
  </property>
  <property fmtid="{D5CDD505-2E9C-101B-9397-08002B2CF9AE}" pid="7" name="header-includes">
    <vt:lpwstr/>
  </property>
  <property fmtid="{D5CDD505-2E9C-101B-9397-08002B2CF9AE}" pid="8" name="include-after">
    <vt:lpwstr/>
  </property>
  <property fmtid="{D5CDD505-2E9C-101B-9397-08002B2CF9AE}" pid="9" name="include-before">
    <vt:lpwstr/>
  </property>
  <property fmtid="{D5CDD505-2E9C-101B-9397-08002B2CF9AE}" pid="10" name="labels">
    <vt:lpwstr/>
  </property>
  <property fmtid="{D5CDD505-2E9C-101B-9397-08002B2CF9AE}" pid="11" name="toc-title">
    <vt:lpwstr>Table of contents</vt:lpwstr>
  </property>
</Properties>
</file>